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724F6B">
        <w:tc>
          <w:tcPr>
            <w:tcW w:w="8363" w:type="dxa"/>
          </w:tcPr>
          <w:p w:rsidR="00916FF8" w:rsidRPr="00624A42" w:rsidRDefault="00994F05" w:rsidP="004C7868">
            <w:pPr>
              <w:pStyle w:val="FileNumber0"/>
              <w:rPr>
                <w:sz w:val="28"/>
                <w:u w:val="single"/>
                <w:rtl/>
              </w:rPr>
            </w:pPr>
            <w:bookmarkStart w:id="0" w:name="_GoBack"/>
            <w:bookmarkEnd w:id="0"/>
            <w:r>
              <w:rPr>
                <w:u w:val="single"/>
                <w:rtl/>
              </w:rPr>
              <w:t>בבית המשפט העליון בשבתו כבית משפט גבוה לצדק</w:t>
            </w:r>
          </w:p>
        </w:tc>
      </w:tr>
    </w:tbl>
    <w:p w:rsidR="00916FF8" w:rsidRPr="00724F6B" w:rsidRDefault="00916FF8" w:rsidP="00724F6B">
      <w:pPr>
        <w:spacing w:line="360" w:lineRule="auto"/>
        <w:jc w:val="right"/>
        <w:rPr>
          <w:rFonts w:cs="Miriam"/>
          <w:b/>
          <w:bCs/>
          <w:sz w:val="24"/>
          <w:szCs w:val="32"/>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E11E1B">
            <w:pPr>
              <w:pStyle w:val="FileNumber"/>
              <w:rPr>
                <w:sz w:val="28"/>
                <w:szCs w:val="28"/>
              </w:rPr>
            </w:pPr>
            <w:bookmarkStart w:id="1" w:name="casename_body"/>
            <w:r>
              <w:rPr>
                <w:sz w:val="28"/>
                <w:szCs w:val="28"/>
                <w:rtl/>
              </w:rPr>
              <w:t>בג"ץ</w:t>
            </w:r>
            <w:r w:rsidR="00994F05">
              <w:rPr>
                <w:sz w:val="28"/>
                <w:szCs w:val="28"/>
                <w:rtl/>
              </w:rPr>
              <w:t xml:space="preserve"> 5336/03</w:t>
            </w:r>
          </w:p>
        </w:tc>
      </w:tr>
      <w:bookmarkEnd w:id="1"/>
    </w:tbl>
    <w:p w:rsidR="00916FF8" w:rsidRPr="00724F6B" w:rsidRDefault="00916FF8" w:rsidP="00724F6B">
      <w:pPr>
        <w:spacing w:line="360" w:lineRule="auto"/>
        <w:jc w:val="right"/>
        <w:rPr>
          <w:rFonts w:cs="Miriam"/>
          <w:b/>
          <w:bCs/>
          <w:sz w:val="24"/>
          <w:szCs w:val="32"/>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994F05">
            <w:pPr>
              <w:pStyle w:val="BodyRuller"/>
            </w:pPr>
            <w:r>
              <w:rPr>
                <w:rtl/>
              </w:rPr>
              <w:t>כבוד המשנה לנשיאה ע' פוגלמן</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 י' עמית</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 נ' סולברג</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השופטת ד' ברק-ארז</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השופטת ע' ברון</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 ד' מינץ</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השופטת י' וילנר</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 ע' גרוסקופף</w:t>
            </w:r>
          </w:p>
        </w:tc>
      </w:tr>
      <w:tr w:rsidR="00994F05" w:rsidTr="00EC23AC">
        <w:trPr>
          <w:trHeight w:val="287"/>
        </w:trPr>
        <w:tc>
          <w:tcPr>
            <w:tcW w:w="3261" w:type="dxa"/>
          </w:tcPr>
          <w:p w:rsidR="00994F05" w:rsidRDefault="00994F05">
            <w:pPr>
              <w:pStyle w:val="BodyRuller"/>
              <w:rPr>
                <w:rtl/>
              </w:rPr>
            </w:pPr>
          </w:p>
        </w:tc>
        <w:tc>
          <w:tcPr>
            <w:tcW w:w="5239" w:type="dxa"/>
          </w:tcPr>
          <w:p w:rsidR="00994F05" w:rsidRDefault="00994F05">
            <w:pPr>
              <w:pStyle w:val="BodyRuller"/>
              <w:rPr>
                <w:rtl/>
              </w:rPr>
            </w:pPr>
            <w:r>
              <w:rPr>
                <w:rtl/>
              </w:rPr>
              <w:t>כבוד השופט א' שטיין</w:t>
            </w:r>
          </w:p>
        </w:tc>
      </w:tr>
    </w:tbl>
    <w:p w:rsidR="00916FF8" w:rsidRPr="00724F6B" w:rsidRDefault="00916FF8" w:rsidP="00724F6B">
      <w:pPr>
        <w:spacing w:line="360" w:lineRule="auto"/>
        <w:jc w:val="right"/>
        <w:rPr>
          <w:rFonts w:cs="Miriam"/>
          <w:b/>
          <w:bCs/>
          <w:sz w:val="24"/>
          <w:szCs w:val="32"/>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994F05" w:rsidP="00DD6306">
            <w:pPr>
              <w:pStyle w:val="BodyRuller"/>
              <w:rPr>
                <w:rFonts w:ascii="David" w:hAnsi="David"/>
              </w:rPr>
            </w:pPr>
            <w:r>
              <w:rPr>
                <w:rFonts w:ascii="David" w:hAnsi="David"/>
                <w:rtl/>
              </w:rPr>
              <w:t>העותר:</w:t>
            </w:r>
          </w:p>
        </w:tc>
        <w:tc>
          <w:tcPr>
            <w:tcW w:w="5239" w:type="dxa"/>
          </w:tcPr>
          <w:p w:rsidR="00D00CB7" w:rsidRDefault="00E11E1B" w:rsidP="00E11E1B">
            <w:pPr>
              <w:pStyle w:val="BodyRuller"/>
              <w:jc w:val="both"/>
            </w:pPr>
            <w:r>
              <w:rPr>
                <w:rtl/>
              </w:rPr>
              <w:t>המרכז לפלורליזם יהודי</w:t>
            </w:r>
            <w:r>
              <w:rPr>
                <w:rFonts w:hint="cs"/>
                <w:rtl/>
              </w:rPr>
              <w:t xml:space="preserve"> </w:t>
            </w:r>
            <w:r>
              <w:rPr>
                <w:rtl/>
              </w:rPr>
              <w:t>–</w:t>
            </w:r>
            <w:r w:rsidR="00994F05">
              <w:rPr>
                <w:rtl/>
              </w:rPr>
              <w:t xml:space="preserve"> התנועה ליהדות מתקדמת</w:t>
            </w:r>
          </w:p>
        </w:tc>
      </w:tr>
    </w:tbl>
    <w:p w:rsidR="00D00CB7" w:rsidRPr="00724F6B" w:rsidRDefault="00D00CB7" w:rsidP="00724F6B">
      <w:pPr>
        <w:spacing w:line="360" w:lineRule="auto"/>
        <w:jc w:val="right"/>
        <w:rPr>
          <w:rFonts w:cs="Miriam"/>
          <w:b/>
          <w:bCs/>
          <w:sz w:val="24"/>
          <w:szCs w:val="32"/>
        </w:rPr>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Pr="00724F6B" w:rsidRDefault="00916FF8" w:rsidP="00724F6B">
      <w:pPr>
        <w:spacing w:line="360" w:lineRule="auto"/>
        <w:jc w:val="right"/>
        <w:rPr>
          <w:rFonts w:cs="Miriam"/>
          <w:b/>
          <w:bCs/>
          <w:sz w:val="24"/>
          <w:szCs w:val="32"/>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994F05" w:rsidP="00DD6306">
            <w:pPr>
              <w:pStyle w:val="BodyRuller"/>
              <w:rPr>
                <w:rFonts w:ascii="David" w:hAnsi="David"/>
              </w:rPr>
            </w:pPr>
            <w:r>
              <w:rPr>
                <w:rFonts w:ascii="David" w:hAnsi="David"/>
                <w:rtl/>
              </w:rPr>
              <w:t>המשיב:</w:t>
            </w:r>
          </w:p>
        </w:tc>
        <w:tc>
          <w:tcPr>
            <w:tcW w:w="5239" w:type="dxa"/>
          </w:tcPr>
          <w:p w:rsidR="0083345F" w:rsidRDefault="00E11E1B" w:rsidP="00DD6306">
            <w:pPr>
              <w:pStyle w:val="BodyRuller"/>
            </w:pPr>
            <w:r>
              <w:rPr>
                <w:rtl/>
              </w:rPr>
              <w:t>משרד הרווחה</w:t>
            </w:r>
            <w:r>
              <w:rPr>
                <w:rFonts w:hint="cs"/>
                <w:rtl/>
              </w:rPr>
              <w:t xml:space="preserve"> </w:t>
            </w:r>
            <w:r>
              <w:rPr>
                <w:rtl/>
              </w:rPr>
              <w:t>–</w:t>
            </w:r>
            <w:r w:rsidR="00994F05">
              <w:rPr>
                <w:rtl/>
              </w:rPr>
              <w:t xml:space="preserve"> השירות למען הילד</w:t>
            </w:r>
          </w:p>
        </w:tc>
      </w:tr>
    </w:tbl>
    <w:p w:rsidR="0083345F" w:rsidRPr="00724F6B" w:rsidRDefault="0083345F" w:rsidP="00724F6B">
      <w:pPr>
        <w:spacing w:line="360" w:lineRule="auto"/>
        <w:jc w:val="right"/>
        <w:rPr>
          <w:rFonts w:cs="Miriam"/>
          <w:b/>
          <w:bCs/>
          <w:sz w:val="24"/>
          <w:szCs w:val="32"/>
        </w:rPr>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E11E1B" w:rsidRDefault="00E11E1B">
            <w:pPr>
              <w:pStyle w:val="BodyRuller"/>
              <w:rPr>
                <w:sz w:val="24"/>
                <w:szCs w:val="24"/>
              </w:rPr>
            </w:pPr>
            <w:r>
              <w:rPr>
                <w:rFonts w:hint="cs"/>
                <w:sz w:val="24"/>
                <w:szCs w:val="24"/>
                <w:rtl/>
              </w:rPr>
              <w:t xml:space="preserve">התנגדות לצו על תנאי </w:t>
            </w:r>
          </w:p>
        </w:tc>
      </w:tr>
    </w:tbl>
    <w:p w:rsidR="00916FF8" w:rsidRPr="00724F6B" w:rsidRDefault="00916FF8" w:rsidP="00724F6B">
      <w:pPr>
        <w:spacing w:line="360" w:lineRule="auto"/>
        <w:jc w:val="right"/>
        <w:rPr>
          <w:rFonts w:cs="Miriam"/>
          <w:b/>
          <w:bCs/>
          <w:sz w:val="24"/>
          <w:szCs w:val="32"/>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7A723A">
            <w:pPr>
              <w:pStyle w:val="BodyRuller"/>
              <w:rPr>
                <w:rtl/>
              </w:rPr>
            </w:pPr>
            <w:r>
              <w:rPr>
                <w:rFonts w:hint="cs"/>
                <w:sz w:val="24"/>
                <w:szCs w:val="24"/>
                <w:rtl/>
              </w:rPr>
              <w:t xml:space="preserve">כ"א באדר </w:t>
            </w:r>
            <w:proofErr w:type="spellStart"/>
            <w:r>
              <w:rPr>
                <w:rFonts w:hint="cs"/>
                <w:sz w:val="24"/>
                <w:szCs w:val="24"/>
                <w:rtl/>
              </w:rPr>
              <w:t>התשפ"ג</w:t>
            </w:r>
            <w:proofErr w:type="spellEnd"/>
            <w:r w:rsidR="008C2F11">
              <w:t xml:space="preserve">       </w:t>
            </w:r>
          </w:p>
        </w:tc>
        <w:tc>
          <w:tcPr>
            <w:tcW w:w="2694" w:type="dxa"/>
            <w:tcBorders>
              <w:top w:val="nil"/>
              <w:left w:val="nil"/>
              <w:bottom w:val="nil"/>
              <w:right w:val="nil"/>
            </w:tcBorders>
          </w:tcPr>
          <w:p w:rsidR="008C2F11" w:rsidRDefault="007A723A" w:rsidP="007A723A">
            <w:pPr>
              <w:pStyle w:val="BodyRuller"/>
              <w:rPr>
                <w:sz w:val="24"/>
                <w:szCs w:val="24"/>
                <w:rtl/>
              </w:rPr>
            </w:pPr>
            <w:r w:rsidRPr="007A723A">
              <w:rPr>
                <w:rFonts w:hint="cs"/>
                <w:sz w:val="24"/>
                <w:szCs w:val="24"/>
                <w:rtl/>
              </w:rPr>
              <w:t>(14.3.2023)</w:t>
            </w:r>
            <w:r w:rsidR="00200D6B" w:rsidRPr="007A723A">
              <w:rPr>
                <w:sz w:val="24"/>
                <w:szCs w:val="24"/>
              </w:rPr>
              <w:t xml:space="preserve"> </w:t>
            </w:r>
          </w:p>
        </w:tc>
      </w:tr>
    </w:tbl>
    <w:p w:rsidR="00916FF8" w:rsidRPr="00724F6B" w:rsidRDefault="00916FF8" w:rsidP="00724F6B">
      <w:pPr>
        <w:spacing w:line="360" w:lineRule="auto"/>
        <w:jc w:val="right"/>
        <w:rPr>
          <w:rFonts w:cs="Miriam"/>
          <w:b/>
          <w:bCs/>
          <w:sz w:val="24"/>
          <w:szCs w:val="32"/>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2"/>
        <w:gridCol w:w="5151"/>
      </w:tblGrid>
      <w:tr w:rsidR="00036227" w:rsidTr="00D00B1D">
        <w:tc>
          <w:tcPr>
            <w:tcW w:w="3257" w:type="dxa"/>
            <w:tcBorders>
              <w:top w:val="nil"/>
              <w:left w:val="nil"/>
              <w:bottom w:val="nil"/>
              <w:right w:val="nil"/>
            </w:tcBorders>
          </w:tcPr>
          <w:p w:rsidR="00036227" w:rsidRDefault="00994F05">
            <w:pPr>
              <w:pStyle w:val="BodyRuller"/>
            </w:pPr>
            <w:r>
              <w:rPr>
                <w:rtl/>
              </w:rPr>
              <w:t>בשם העותר:</w:t>
            </w:r>
          </w:p>
        </w:tc>
        <w:tc>
          <w:tcPr>
            <w:tcW w:w="5238" w:type="dxa"/>
            <w:tcBorders>
              <w:top w:val="nil"/>
              <w:left w:val="nil"/>
              <w:bottom w:val="nil"/>
              <w:right w:val="nil"/>
            </w:tcBorders>
          </w:tcPr>
          <w:p w:rsidR="00036227" w:rsidRDefault="00994F05" w:rsidP="007A723A">
            <w:pPr>
              <w:pStyle w:val="BodyRuller"/>
            </w:pPr>
            <w:r>
              <w:rPr>
                <w:rtl/>
              </w:rPr>
              <w:t>עו"ד ניקול</w:t>
            </w:r>
            <w:r w:rsidR="007A723A">
              <w:rPr>
                <w:rFonts w:hint="cs"/>
                <w:rtl/>
              </w:rPr>
              <w:t xml:space="preserve"> מאור; עו"ד אורי </w:t>
            </w:r>
            <w:proofErr w:type="spellStart"/>
            <w:r w:rsidR="007A723A">
              <w:rPr>
                <w:rFonts w:hint="cs"/>
                <w:rtl/>
              </w:rPr>
              <w:t>נרוב</w:t>
            </w:r>
            <w:proofErr w:type="spellEnd"/>
          </w:p>
        </w:tc>
      </w:tr>
    </w:tbl>
    <w:p w:rsidR="00916FF8" w:rsidRPr="00724F6B" w:rsidRDefault="00916FF8" w:rsidP="00724F6B">
      <w:pPr>
        <w:spacing w:line="360" w:lineRule="auto"/>
        <w:jc w:val="right"/>
        <w:rPr>
          <w:rFonts w:cs="Miriam"/>
          <w:b/>
          <w:bCs/>
          <w:sz w:val="24"/>
          <w:szCs w:val="32"/>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2"/>
        <w:gridCol w:w="5151"/>
      </w:tblGrid>
      <w:tr w:rsidR="00036227" w:rsidTr="00D00B1D">
        <w:tc>
          <w:tcPr>
            <w:tcW w:w="3257" w:type="dxa"/>
            <w:tcBorders>
              <w:top w:val="nil"/>
              <w:left w:val="nil"/>
              <w:bottom w:val="nil"/>
              <w:right w:val="nil"/>
            </w:tcBorders>
          </w:tcPr>
          <w:p w:rsidR="00036227" w:rsidRDefault="00994F05">
            <w:pPr>
              <w:pStyle w:val="BodyRuller"/>
            </w:pPr>
            <w:r>
              <w:rPr>
                <w:rtl/>
              </w:rPr>
              <w:t>בשם המשיב:</w:t>
            </w:r>
          </w:p>
        </w:tc>
        <w:tc>
          <w:tcPr>
            <w:tcW w:w="5238" w:type="dxa"/>
            <w:tcBorders>
              <w:top w:val="nil"/>
              <w:left w:val="nil"/>
              <w:bottom w:val="nil"/>
              <w:right w:val="nil"/>
            </w:tcBorders>
          </w:tcPr>
          <w:p w:rsidR="00036227" w:rsidRDefault="00994F05" w:rsidP="007A723A">
            <w:pPr>
              <w:pStyle w:val="BodyRuller"/>
            </w:pPr>
            <w:r>
              <w:rPr>
                <w:rtl/>
              </w:rPr>
              <w:t>עו"ד דניאל</w:t>
            </w:r>
            <w:r w:rsidR="007A723A">
              <w:rPr>
                <w:rtl/>
              </w:rPr>
              <w:t xml:space="preserve"> מארקס</w:t>
            </w:r>
          </w:p>
        </w:tc>
      </w:tr>
    </w:tbl>
    <w:p w:rsidR="00DD6B83" w:rsidRPr="00724F6B" w:rsidRDefault="00DD6B83" w:rsidP="00724F6B">
      <w:pPr>
        <w:spacing w:line="360" w:lineRule="auto"/>
        <w:jc w:val="right"/>
        <w:rPr>
          <w:rFonts w:cs="Miriam"/>
          <w:b/>
          <w:bCs/>
          <w:sz w:val="24"/>
          <w:szCs w:val="32"/>
          <w:rtl/>
        </w:rPr>
      </w:pPr>
    </w:p>
    <w:tbl>
      <w:tblPr>
        <w:bidiVisual/>
        <w:tblW w:w="8363" w:type="dxa"/>
        <w:tblLook w:val="0000" w:firstRow="0" w:lastRow="0" w:firstColumn="0" w:lastColumn="0" w:noHBand="0" w:noVBand="0"/>
      </w:tblPr>
      <w:tblGrid>
        <w:gridCol w:w="8363"/>
      </w:tblGrid>
      <w:tr w:rsidR="00036227" w:rsidTr="00724F6B">
        <w:tc>
          <w:tcPr>
            <w:tcW w:w="8363" w:type="dxa"/>
          </w:tcPr>
          <w:p w:rsidR="00916FF8" w:rsidRDefault="00994F05">
            <w:pPr>
              <w:pStyle w:val="DocumentHead"/>
            </w:pPr>
            <w:bookmarkStart w:id="2" w:name="secretary"/>
            <w:bookmarkStart w:id="3" w:name="BeginProtocol"/>
            <w:bookmarkEnd w:id="2"/>
            <w:bookmarkEnd w:id="3"/>
            <w:r>
              <w:rPr>
                <w:rtl/>
              </w:rPr>
              <w:t>פסק-דין</w:t>
            </w:r>
          </w:p>
        </w:tc>
      </w:tr>
    </w:tbl>
    <w:p w:rsidR="0065522F" w:rsidRPr="00724F6B" w:rsidRDefault="0065522F">
      <w:pPr>
        <w:pStyle w:val="BODYVERDICT"/>
        <w:rPr>
          <w:sz w:val="24"/>
          <w:szCs w:val="32"/>
        </w:rPr>
      </w:pPr>
    </w:p>
    <w:p w:rsidR="004A35F5" w:rsidRPr="00EB2023" w:rsidRDefault="004A35F5" w:rsidP="004A35F5">
      <w:pPr>
        <w:pStyle w:val="Ruller4"/>
        <w:spacing w:line="360" w:lineRule="auto"/>
        <w:rPr>
          <w:rFonts w:ascii="Century" w:hAnsi="Century" w:cs="FrankRuehl"/>
          <w:spacing w:val="10"/>
          <w:sz w:val="22"/>
          <w:szCs w:val="28"/>
          <w:rtl/>
        </w:rPr>
      </w:pPr>
      <w:bookmarkStart w:id="4" w:name="Writer_Name"/>
      <w:bookmarkStart w:id="5" w:name="Start_Write"/>
      <w:bookmarkEnd w:id="4"/>
      <w:bookmarkEnd w:id="5"/>
      <w:r w:rsidRPr="00EB2023">
        <w:rPr>
          <w:rFonts w:ascii="Century" w:hAnsi="Century" w:cs="FrankRuehl" w:hint="cs"/>
          <w:spacing w:val="10"/>
          <w:sz w:val="22"/>
          <w:szCs w:val="28"/>
          <w:rtl/>
        </w:rPr>
        <w:t>עתירה זו, שהוגשה בראשיתה לפני כעשרים שנה, כוונה כלפי אמת המידה שנקבעה על ידי השירות למען הילד, שלפיה ילד שלא נולד כיהודי ועתיד להימסר להורים מאמצים יהודים, יצטרך לעבור לשם כך הליך גיור אורתודוקסי בלבד, ולכן יוכל לה</w:t>
      </w:r>
      <w:r w:rsidR="00DD6B83">
        <w:rPr>
          <w:rFonts w:ascii="Century" w:hAnsi="Century" w:cs="FrankRuehl" w:hint="cs"/>
          <w:spacing w:val="10"/>
          <w:sz w:val="22"/>
          <w:szCs w:val="28"/>
          <w:rtl/>
        </w:rPr>
        <w:t>י</w:t>
      </w:r>
      <w:r w:rsidRPr="00EB2023">
        <w:rPr>
          <w:rFonts w:ascii="Century" w:hAnsi="Century" w:cs="FrankRuehl" w:hint="cs"/>
          <w:spacing w:val="10"/>
          <w:sz w:val="22"/>
          <w:szCs w:val="28"/>
          <w:rtl/>
        </w:rPr>
        <w:t>מסר רק להורים מאמצ</w:t>
      </w:r>
      <w:r w:rsidR="00DD6B83">
        <w:rPr>
          <w:rFonts w:ascii="Century" w:hAnsi="Century" w:cs="FrankRuehl" w:hint="cs"/>
          <w:spacing w:val="10"/>
          <w:sz w:val="22"/>
          <w:szCs w:val="28"/>
          <w:rtl/>
        </w:rPr>
        <w:t>ים ש</w:t>
      </w:r>
      <w:r w:rsidRPr="00EB2023">
        <w:rPr>
          <w:rFonts w:ascii="Century" w:hAnsi="Century" w:cs="FrankRuehl" w:hint="cs"/>
          <w:spacing w:val="10"/>
          <w:sz w:val="22"/>
          <w:szCs w:val="28"/>
          <w:rtl/>
        </w:rPr>
        <w:t xml:space="preserve">מקיימים אורח חיים דתי אורתודוקסי. בעתירה זו ניתן צו על תנאי כמבוקש עוד ביום 3.12.2003. </w:t>
      </w:r>
    </w:p>
    <w:p w:rsidR="004A35F5" w:rsidRPr="00EB2023" w:rsidRDefault="004A35F5" w:rsidP="004A35F5">
      <w:pPr>
        <w:spacing w:line="360" w:lineRule="auto"/>
        <w:jc w:val="both"/>
        <w:rPr>
          <w:rFonts w:ascii="Century" w:hAnsi="Century" w:cs="FrankRuehl"/>
          <w:spacing w:val="10"/>
          <w:sz w:val="22"/>
          <w:szCs w:val="28"/>
          <w:rtl/>
        </w:rPr>
      </w:pPr>
    </w:p>
    <w:p w:rsidR="004A35F5" w:rsidRPr="00EB2023" w:rsidRDefault="004A35F5" w:rsidP="004A35F5">
      <w:pPr>
        <w:pStyle w:val="Ruller4"/>
        <w:spacing w:line="360" w:lineRule="auto"/>
        <w:rPr>
          <w:rFonts w:ascii="Century" w:hAnsi="Century" w:cs="FrankRuehl"/>
          <w:spacing w:val="10"/>
          <w:sz w:val="22"/>
          <w:szCs w:val="28"/>
          <w:rtl/>
        </w:rPr>
      </w:pPr>
      <w:r w:rsidRPr="00EB2023">
        <w:rPr>
          <w:rFonts w:ascii="Century" w:hAnsi="Century" w:cs="FrankRuehl" w:hint="cs"/>
          <w:spacing w:val="10"/>
          <w:sz w:val="22"/>
          <w:szCs w:val="28"/>
          <w:rtl/>
        </w:rPr>
        <w:t>הדיון כולו התעורר ברקעו של סעיף 5 של חוק אימוץ ילדים, התשמ"א-1981 המחייב הלימה בין דתם של ההורים המאמצים לבין דתו של הילד המועמד לאימוץ. ככלל, נעשה מאמץ מירבי למסור ילד להורים מאמצים שהם בני דתו המקורית. כאשר הדבר אינו מסתייע וטובת הילד מחייבת איתור של הורים מאמצים גם בקבוצות אוכלוסייה אחרות, הדבר עשוי להצדיק נקיטת הליך הנוגע לשינוי דת באישור בית משפט לפי סעיף 13א</w:t>
      </w:r>
      <w:r>
        <w:rPr>
          <w:rFonts w:ascii="Century" w:hAnsi="Century" w:cs="FrankRuehl" w:hint="cs"/>
          <w:spacing w:val="10"/>
          <w:sz w:val="22"/>
          <w:szCs w:val="28"/>
          <w:rtl/>
        </w:rPr>
        <w:t>(ג)</w:t>
      </w:r>
      <w:r w:rsidRPr="00EB2023">
        <w:rPr>
          <w:rFonts w:ascii="Century" w:hAnsi="Century" w:cs="FrankRuehl" w:hint="cs"/>
          <w:spacing w:val="10"/>
          <w:sz w:val="22"/>
          <w:szCs w:val="28"/>
          <w:rtl/>
        </w:rPr>
        <w:t xml:space="preserve"> לחוק הכשרות המשפטית והאפוטרופסות, התשכ"ב-1962. במהלך השנים שחלפו מאז הגשת העתירה הועלו הצעות שונות למתן מענה לקשיים שהועלו בה, אך הדבר לא הסתייע. </w:t>
      </w:r>
    </w:p>
    <w:p w:rsidR="004A35F5" w:rsidRPr="00EB2023" w:rsidRDefault="004A35F5" w:rsidP="004A35F5">
      <w:pPr>
        <w:spacing w:line="360" w:lineRule="auto"/>
        <w:jc w:val="both"/>
        <w:rPr>
          <w:rFonts w:ascii="Century" w:hAnsi="Century" w:cs="FrankRuehl"/>
          <w:spacing w:val="10"/>
          <w:sz w:val="22"/>
          <w:szCs w:val="28"/>
          <w:rtl/>
        </w:rPr>
      </w:pPr>
    </w:p>
    <w:p w:rsidR="004A35F5" w:rsidRPr="00EB2023" w:rsidRDefault="004A35F5" w:rsidP="004A35F5">
      <w:pPr>
        <w:pStyle w:val="Ruller4"/>
        <w:spacing w:line="360" w:lineRule="auto"/>
        <w:rPr>
          <w:rFonts w:ascii="Century" w:hAnsi="Century" w:cs="FrankRuehl"/>
          <w:spacing w:val="10"/>
          <w:sz w:val="22"/>
          <w:szCs w:val="28"/>
          <w:rtl/>
        </w:rPr>
      </w:pPr>
      <w:r w:rsidRPr="00EB2023">
        <w:rPr>
          <w:rFonts w:ascii="Century" w:hAnsi="Century" w:cs="FrankRuehl" w:hint="cs"/>
          <w:spacing w:val="10"/>
          <w:sz w:val="22"/>
          <w:szCs w:val="28"/>
          <w:rtl/>
        </w:rPr>
        <w:t>המשך הטיפול בעתירה עוכב למשך שנים רבות מאחר שבאותה עת היו תלויות ועומדות בבית משפט זה עתירות שנסבו על ת</w:t>
      </w:r>
      <w:r w:rsidR="00DD6B83">
        <w:rPr>
          <w:rFonts w:ascii="Century" w:hAnsi="Century" w:cs="FrankRuehl" w:hint="cs"/>
          <w:spacing w:val="10"/>
          <w:sz w:val="22"/>
          <w:szCs w:val="28"/>
          <w:rtl/>
        </w:rPr>
        <w:t>ו</w:t>
      </w:r>
      <w:r w:rsidRPr="00EB2023">
        <w:rPr>
          <w:rFonts w:ascii="Century" w:hAnsi="Century" w:cs="FrankRuehl" w:hint="cs"/>
          <w:spacing w:val="10"/>
          <w:sz w:val="22"/>
          <w:szCs w:val="28"/>
          <w:rtl/>
        </w:rPr>
        <w:t>קפם של גיורים שלא נעשים במערכת הממלכתית, לרבות גיורים קונסרבטיביים ורפורמיים. אותן עתירות נסבו על נושאי מרשם ושבות אבל ההנחה ה</w:t>
      </w:r>
      <w:r w:rsidR="00DD6B83">
        <w:rPr>
          <w:rFonts w:ascii="Century" w:hAnsi="Century" w:cs="FrankRuehl" w:hint="cs"/>
          <w:spacing w:val="10"/>
          <w:sz w:val="22"/>
          <w:szCs w:val="28"/>
          <w:rtl/>
        </w:rPr>
        <w:t>יתה כי הכרעה בהן עשויה להיות רלוו</w:t>
      </w:r>
      <w:r w:rsidRPr="00EB2023">
        <w:rPr>
          <w:rFonts w:ascii="Century" w:hAnsi="Century" w:cs="FrankRuehl" w:hint="cs"/>
          <w:spacing w:val="10"/>
          <w:sz w:val="22"/>
          <w:szCs w:val="28"/>
          <w:rtl/>
        </w:rPr>
        <w:t>נטית גם לעניננו</w:t>
      </w:r>
      <w:r>
        <w:rPr>
          <w:rFonts w:ascii="Century" w:hAnsi="Century" w:cs="FrankRuehl" w:hint="cs"/>
          <w:spacing w:val="10"/>
          <w:sz w:val="22"/>
          <w:szCs w:val="28"/>
          <w:rtl/>
        </w:rPr>
        <w:t xml:space="preserve">. </w:t>
      </w:r>
      <w:r w:rsidRPr="00EB2023">
        <w:rPr>
          <w:rFonts w:ascii="Century" w:hAnsi="Century" w:cs="FrankRuehl" w:hint="cs"/>
          <w:spacing w:val="10"/>
          <w:sz w:val="22"/>
          <w:szCs w:val="28"/>
          <w:rtl/>
        </w:rPr>
        <w:t>בעקבות ההכרעה באותן עתירות (</w:t>
      </w:r>
      <w:r>
        <w:rPr>
          <w:rFonts w:ascii="Century" w:hAnsi="Century" w:cs="FrankRuehl" w:hint="cs"/>
          <w:spacing w:val="10"/>
          <w:sz w:val="22"/>
          <w:szCs w:val="28"/>
          <w:rtl/>
        </w:rPr>
        <w:t xml:space="preserve">בג"ץ 11013/05 </w:t>
      </w:r>
      <w:r w:rsidRPr="00EB2023">
        <w:rPr>
          <w:rFonts w:ascii="Century" w:hAnsi="Century" w:cs="Miriam" w:hint="cs"/>
          <w:b/>
          <w:sz w:val="22"/>
          <w:rtl/>
        </w:rPr>
        <w:t>דהן נ' משרד הפנים</w:t>
      </w:r>
      <w:r w:rsidRPr="00EB2023">
        <w:rPr>
          <w:rFonts w:ascii="Century" w:hAnsi="Century" w:cs="FrankRuehl" w:hint="cs"/>
          <w:spacing w:val="10"/>
          <w:sz w:val="22"/>
          <w:szCs w:val="28"/>
          <w:rtl/>
        </w:rPr>
        <w:t xml:space="preserve"> </w:t>
      </w:r>
      <w:r>
        <w:rPr>
          <w:rFonts w:ascii="Century" w:hAnsi="Century" w:cs="FrankRuehl" w:hint="cs"/>
          <w:spacing w:val="10"/>
          <w:sz w:val="22"/>
          <w:szCs w:val="28"/>
          <w:rtl/>
        </w:rPr>
        <w:t xml:space="preserve">(1.3.2021); בג"ץ 2597/99 </w:t>
      </w:r>
      <w:r w:rsidRPr="00D06746">
        <w:rPr>
          <w:rFonts w:ascii="Century" w:hAnsi="Century" w:cs="Miriam" w:hint="cs"/>
          <w:b/>
          <w:sz w:val="22"/>
          <w:rtl/>
        </w:rPr>
        <w:t>רודירגז-טושביים נ' שר הפנים</w:t>
      </w:r>
      <w:r>
        <w:rPr>
          <w:rFonts w:ascii="Century" w:hAnsi="Century" w:cs="FrankRuehl" w:hint="cs"/>
          <w:spacing w:val="10"/>
          <w:sz w:val="22"/>
          <w:szCs w:val="28"/>
          <w:rtl/>
        </w:rPr>
        <w:t>, פ"ד נט(6) 721 (2005)</w:t>
      </w:r>
      <w:r w:rsidRPr="00EB2023">
        <w:rPr>
          <w:rFonts w:ascii="Century" w:hAnsi="Century" w:cs="FrankRuehl" w:hint="cs"/>
          <w:spacing w:val="10"/>
          <w:sz w:val="22"/>
          <w:szCs w:val="28"/>
          <w:rtl/>
        </w:rPr>
        <w:t>) הוגשה בקשה למתן פסק דין ביום 17.3.2021. ביום 14.3.2023 לאחר שהוגשו תגובות נוספות מטעם הצדדים קיימנו דיון בהתנגדות לצו על תנאי ובכלל זה שמענו עדכונים לגבי שינויים משמעותיים שחלו במהלך השנים בתחום אימוץ הילדים ובפרט בדבר הירידה המשמעותית במספר הילדים המועמדים לאימוץ (עשרות בודדות בשנת 2022). בהקשרנו ציינה המדינה כי הדבר בא לידי ביטוי גם במספר הילדים המאומצים שנזקקו לגיור וכי מדובר במקרים בודדים לכל היותר.</w:t>
      </w:r>
    </w:p>
    <w:p w:rsidR="004A35F5" w:rsidRPr="00EB2023" w:rsidRDefault="004A35F5" w:rsidP="004A35F5">
      <w:pPr>
        <w:spacing w:line="360" w:lineRule="auto"/>
        <w:jc w:val="both"/>
        <w:rPr>
          <w:rFonts w:ascii="Century" w:hAnsi="Century" w:cs="FrankRuehl"/>
          <w:spacing w:val="10"/>
          <w:sz w:val="22"/>
          <w:szCs w:val="28"/>
          <w:rtl/>
        </w:rPr>
      </w:pPr>
    </w:p>
    <w:p w:rsidR="004A35F5" w:rsidRPr="00170329" w:rsidRDefault="004A35F5" w:rsidP="004A35F5">
      <w:pPr>
        <w:pStyle w:val="Ruller4"/>
        <w:spacing w:line="360" w:lineRule="auto"/>
        <w:rPr>
          <w:rFonts w:ascii="Century" w:hAnsi="Century" w:cs="FrankRuehl"/>
          <w:spacing w:val="10"/>
          <w:sz w:val="22"/>
          <w:szCs w:val="28"/>
          <w:rtl/>
        </w:rPr>
      </w:pPr>
      <w:r w:rsidRPr="00170329">
        <w:rPr>
          <w:rFonts w:ascii="Century" w:hAnsi="Century" w:cs="FrankRuehl" w:hint="cs"/>
          <w:spacing w:val="10"/>
          <w:sz w:val="22"/>
          <w:szCs w:val="28"/>
          <w:rtl/>
        </w:rPr>
        <w:t>בהקשר זה הדגישה המדינה כי העיקרון המוביל המנחה אותה במסירת ילד לאימוץ הוא</w:t>
      </w:r>
      <w:r w:rsidR="00DD6B83">
        <w:rPr>
          <w:rFonts w:ascii="Century" w:hAnsi="Century" w:cs="FrankRuehl" w:hint="cs"/>
          <w:spacing w:val="10"/>
          <w:sz w:val="22"/>
          <w:szCs w:val="28"/>
          <w:rtl/>
        </w:rPr>
        <w:t xml:space="preserve"> תמיד עקרון העל של "טובת הילד" ש</w:t>
      </w:r>
      <w:r w:rsidRPr="00170329">
        <w:rPr>
          <w:rFonts w:ascii="Century" w:hAnsi="Century" w:cs="FrankRuehl" w:hint="cs"/>
          <w:spacing w:val="10"/>
          <w:sz w:val="22"/>
          <w:szCs w:val="28"/>
          <w:rtl/>
        </w:rPr>
        <w:t>מחייב בחינה של מכלול נסיבותיו של כל מקרה. המדינה הוסיפה כי ההעדפה לגיור אורתודוקסי נגזרת אף היא מיישומו של עקרון טובת הילד, על רקע חשש שילד מאומץ אשר עבר גיור אחר, עלול להתקל בקושי להינשא כיהודי במדינת ישראל בבגרותו.</w:t>
      </w:r>
    </w:p>
    <w:p w:rsidR="004A35F5" w:rsidRPr="00EB2023" w:rsidRDefault="004A35F5" w:rsidP="004A35F5">
      <w:pPr>
        <w:spacing w:line="360" w:lineRule="auto"/>
        <w:jc w:val="both"/>
        <w:rPr>
          <w:rFonts w:ascii="Century" w:hAnsi="Century" w:cs="FrankRuehl"/>
          <w:spacing w:val="10"/>
          <w:sz w:val="22"/>
          <w:szCs w:val="28"/>
          <w:rtl/>
        </w:rPr>
      </w:pPr>
    </w:p>
    <w:p w:rsidR="004A35F5" w:rsidRPr="00170329" w:rsidRDefault="004A35F5" w:rsidP="0031011E">
      <w:pPr>
        <w:pStyle w:val="Ruller4"/>
        <w:spacing w:line="360" w:lineRule="auto"/>
        <w:rPr>
          <w:rFonts w:ascii="Century" w:hAnsi="Century" w:cs="FrankRuehl"/>
          <w:spacing w:val="10"/>
          <w:sz w:val="22"/>
          <w:szCs w:val="28"/>
          <w:rtl/>
        </w:rPr>
      </w:pPr>
      <w:r w:rsidRPr="00170329">
        <w:rPr>
          <w:rFonts w:ascii="Century" w:hAnsi="Century" w:cs="FrankRuehl" w:hint="cs"/>
          <w:spacing w:val="10"/>
          <w:sz w:val="22"/>
          <w:szCs w:val="28"/>
          <w:rtl/>
        </w:rPr>
        <w:t xml:space="preserve">לא ראינו עין בעין </w:t>
      </w:r>
      <w:r w:rsidR="00DD6B83">
        <w:rPr>
          <w:rFonts w:ascii="Century" w:hAnsi="Century" w:cs="FrankRuehl" w:hint="cs"/>
          <w:spacing w:val="10"/>
          <w:sz w:val="22"/>
          <w:szCs w:val="28"/>
          <w:rtl/>
        </w:rPr>
        <w:t>עם המדינה באשר לקביעת כלל גורף ש</w:t>
      </w:r>
      <w:r w:rsidRPr="00170329">
        <w:rPr>
          <w:rFonts w:ascii="Century" w:hAnsi="Century" w:cs="FrankRuehl" w:hint="cs"/>
          <w:spacing w:val="10"/>
          <w:sz w:val="22"/>
          <w:szCs w:val="28"/>
          <w:rtl/>
        </w:rPr>
        <w:t xml:space="preserve">מתייחס לטובת הילד בהקשר זה. אנו סבורים שטובת הילד אמורה להיבחן בכל מקרה בהתאם לנסיבותיו של הילד העומד לאימוץ ושל מי שנשקלים כמועמדים לאמץ אותו. </w:t>
      </w:r>
    </w:p>
    <w:p w:rsidR="004A35F5" w:rsidRPr="00EB2023" w:rsidRDefault="004A35F5" w:rsidP="004A35F5">
      <w:pPr>
        <w:spacing w:line="360" w:lineRule="auto"/>
        <w:jc w:val="both"/>
        <w:rPr>
          <w:rFonts w:ascii="Century" w:hAnsi="Century" w:cs="FrankRuehl"/>
          <w:spacing w:val="10"/>
          <w:sz w:val="22"/>
          <w:szCs w:val="28"/>
          <w:rtl/>
        </w:rPr>
      </w:pPr>
    </w:p>
    <w:p w:rsidR="004A35F5" w:rsidRPr="00170329" w:rsidRDefault="004A35F5" w:rsidP="004A35F5">
      <w:pPr>
        <w:pStyle w:val="Ruller4"/>
        <w:spacing w:line="360" w:lineRule="auto"/>
        <w:rPr>
          <w:rFonts w:ascii="Century" w:hAnsi="Century" w:cs="FrankRuehl"/>
          <w:spacing w:val="10"/>
          <w:sz w:val="22"/>
          <w:szCs w:val="28"/>
          <w:rtl/>
        </w:rPr>
      </w:pPr>
      <w:r w:rsidRPr="00170329">
        <w:rPr>
          <w:rFonts w:ascii="Century" w:hAnsi="Century" w:cs="FrankRuehl" w:hint="cs"/>
          <w:spacing w:val="10"/>
          <w:sz w:val="22"/>
          <w:szCs w:val="28"/>
          <w:rtl/>
        </w:rPr>
        <w:lastRenderedPageBreak/>
        <w:t xml:space="preserve">בסיום הדיון, מתוך גישה מעשית המשקפת את הנסיבות העדכניות, ניתנה החלטתנו שזו לשונה: </w:t>
      </w:r>
    </w:p>
    <w:p w:rsidR="004A35F5" w:rsidRPr="00170329" w:rsidRDefault="004A35F5" w:rsidP="004A35F5">
      <w:pPr>
        <w:spacing w:line="360" w:lineRule="auto"/>
        <w:jc w:val="both"/>
        <w:rPr>
          <w:rFonts w:ascii="Century" w:hAnsi="Century" w:cs="FrankRuehl"/>
          <w:spacing w:val="10"/>
          <w:sz w:val="22"/>
          <w:szCs w:val="28"/>
          <w:rtl/>
        </w:rPr>
      </w:pPr>
    </w:p>
    <w:p w:rsidR="004A35F5" w:rsidRPr="00170329" w:rsidRDefault="004A35F5" w:rsidP="004A35F5">
      <w:pPr>
        <w:pStyle w:val="Ruller5"/>
        <w:spacing w:line="360" w:lineRule="auto"/>
        <w:rPr>
          <w:rFonts w:ascii="Century" w:hAnsi="Century"/>
          <w:rtl/>
        </w:rPr>
      </w:pPr>
      <w:r w:rsidRPr="00170329">
        <w:rPr>
          <w:rFonts w:ascii="Century" w:hAnsi="Century" w:hint="cs"/>
          <w:rtl/>
        </w:rPr>
        <w:t>"הואיל והנימוק המרכזי של המדינה מבוסס על עקרון 'טובת הילד'</w:t>
      </w:r>
      <w:r>
        <w:rPr>
          <w:rFonts w:ascii="Century" w:hAnsi="Century" w:hint="cs"/>
          <w:rtl/>
        </w:rPr>
        <w:t>,</w:t>
      </w:r>
      <w:r w:rsidRPr="00170329">
        <w:rPr>
          <w:rFonts w:ascii="Century" w:hAnsi="Century" w:hint="cs"/>
          <w:rtl/>
        </w:rPr>
        <w:t xml:space="preserve"> ונוכח מיעוט</w:t>
      </w:r>
      <w:r>
        <w:rPr>
          <w:rFonts w:ascii="Century" w:hAnsi="Century" w:hint="cs"/>
          <w:rtl/>
        </w:rPr>
        <w:t xml:space="preserve"> המקרים העומדים על הפרק לטענתה, </w:t>
      </w:r>
      <w:r w:rsidRPr="00170329">
        <w:rPr>
          <w:rFonts w:ascii="Century" w:hAnsi="Century" w:hint="cs"/>
          <w:rtl/>
        </w:rPr>
        <w:t>תודיע המדינה אם היא מוכנה כי חלף המדיניות הכללית נושא העתירה ייבחן כל מקרה לגופו</w:t>
      </w:r>
      <w:r>
        <w:rPr>
          <w:rFonts w:ascii="Century" w:hAnsi="Century" w:hint="cs"/>
          <w:rtl/>
        </w:rPr>
        <w:t>,</w:t>
      </w:r>
      <w:r w:rsidRPr="00170329">
        <w:rPr>
          <w:rFonts w:ascii="Century" w:hAnsi="Century" w:hint="cs"/>
          <w:rtl/>
        </w:rPr>
        <w:t xml:space="preserve"> בהתאם למכלול השי</w:t>
      </w:r>
      <w:r>
        <w:rPr>
          <w:rFonts w:ascii="Century" w:hAnsi="Century" w:hint="cs"/>
          <w:rtl/>
        </w:rPr>
        <w:t>קולים הרלוו</w:t>
      </w:r>
      <w:r w:rsidRPr="00170329">
        <w:rPr>
          <w:rFonts w:ascii="Century" w:hAnsi="Century" w:hint="cs"/>
          <w:rtl/>
        </w:rPr>
        <w:t>נטיים לטובתו של הקטין הקונקרטי המועמד לאימוץ".</w:t>
      </w:r>
    </w:p>
    <w:p w:rsidR="004A35F5" w:rsidRPr="00EB2023" w:rsidRDefault="004A35F5" w:rsidP="004A35F5">
      <w:pPr>
        <w:spacing w:line="360" w:lineRule="auto"/>
        <w:jc w:val="both"/>
        <w:rPr>
          <w:rFonts w:ascii="Century" w:hAnsi="Century" w:cs="FrankRuehl"/>
          <w:spacing w:val="10"/>
          <w:sz w:val="22"/>
          <w:szCs w:val="28"/>
          <w:rtl/>
        </w:rPr>
      </w:pPr>
    </w:p>
    <w:p w:rsidR="004A35F5" w:rsidRPr="00170329" w:rsidRDefault="004A35F5" w:rsidP="004A35F5">
      <w:pPr>
        <w:pStyle w:val="Ruller4"/>
        <w:spacing w:line="360" w:lineRule="auto"/>
        <w:rPr>
          <w:rFonts w:ascii="Century" w:hAnsi="Century" w:cs="FrankRuehl"/>
          <w:spacing w:val="10"/>
          <w:sz w:val="22"/>
          <w:szCs w:val="28"/>
          <w:rtl/>
        </w:rPr>
      </w:pPr>
      <w:r>
        <w:rPr>
          <w:rFonts w:ascii="Century" w:hAnsi="Century" w:cs="FrankRuehl" w:hint="cs"/>
          <w:spacing w:val="10"/>
          <w:sz w:val="22"/>
          <w:szCs w:val="28"/>
          <w:rtl/>
        </w:rPr>
        <w:t>ביום</w:t>
      </w:r>
      <w:r w:rsidRPr="00170329">
        <w:rPr>
          <w:rFonts w:ascii="Century" w:hAnsi="Century" w:cs="FrankRuehl" w:hint="cs"/>
          <w:spacing w:val="10"/>
          <w:sz w:val="22"/>
          <w:szCs w:val="28"/>
          <w:rtl/>
        </w:rPr>
        <w:t xml:space="preserve"> 24.4.2023 הודיעה המדינה כי המתווה האמור מקובל עליה וחלף המדיניות הכללית נושא העתירה ייבחן כל מקרה לגופו, בהתאם למכלול השיקולים הרלוונטיים לטובתו של הקטין המועמד לאימוץ.</w:t>
      </w:r>
    </w:p>
    <w:p w:rsidR="004A35F5" w:rsidRDefault="004A35F5" w:rsidP="004A35F5">
      <w:pPr>
        <w:spacing w:line="360" w:lineRule="auto"/>
        <w:jc w:val="both"/>
        <w:rPr>
          <w:rFonts w:ascii="Century" w:hAnsi="Century" w:cs="FrankRuehl"/>
          <w:spacing w:val="10"/>
          <w:sz w:val="22"/>
          <w:szCs w:val="28"/>
          <w:rtl/>
        </w:rPr>
      </w:pPr>
    </w:p>
    <w:p w:rsidR="00C15188" w:rsidRPr="00C15188" w:rsidRDefault="004A35F5" w:rsidP="004A35F5">
      <w:pPr>
        <w:pStyle w:val="Ruller4"/>
        <w:spacing w:line="360" w:lineRule="auto"/>
      </w:pPr>
      <w:r w:rsidRPr="00170329">
        <w:rPr>
          <w:rFonts w:ascii="Century" w:hAnsi="Century" w:cs="FrankRuehl" w:hint="cs"/>
          <w:spacing w:val="10"/>
          <w:sz w:val="22"/>
          <w:szCs w:val="28"/>
          <w:rtl/>
        </w:rPr>
        <w:t>אנו מברכים על הודעה זו של המדינה.</w:t>
      </w:r>
      <w:r>
        <w:rPr>
          <w:rFonts w:ascii="Century" w:hAnsi="Century" w:cs="FrankRuehl" w:hint="cs"/>
          <w:spacing w:val="10"/>
          <w:sz w:val="22"/>
          <w:szCs w:val="28"/>
          <w:rtl/>
        </w:rPr>
        <w:t xml:space="preserve"> </w:t>
      </w:r>
      <w:r w:rsidRPr="00170329">
        <w:rPr>
          <w:rFonts w:ascii="Century" w:hAnsi="Century" w:cs="FrankRuehl" w:hint="cs"/>
          <w:spacing w:val="10"/>
          <w:sz w:val="22"/>
          <w:szCs w:val="28"/>
          <w:rtl/>
        </w:rPr>
        <w:t xml:space="preserve">נחזור ונציין את המובן מאליו </w:t>
      </w:r>
      <w:r w:rsidRPr="00170329">
        <w:rPr>
          <w:rFonts w:ascii="Century" w:hAnsi="Century" w:cs="FrankRuehl"/>
          <w:spacing w:val="10"/>
          <w:sz w:val="22"/>
          <w:szCs w:val="28"/>
          <w:rtl/>
        </w:rPr>
        <w:t>–</w:t>
      </w:r>
      <w:r w:rsidRPr="00170329">
        <w:rPr>
          <w:rFonts w:ascii="Century" w:hAnsi="Century" w:cs="FrankRuehl" w:hint="cs"/>
          <w:spacing w:val="10"/>
          <w:sz w:val="22"/>
          <w:szCs w:val="28"/>
          <w:rtl/>
        </w:rPr>
        <w:t xml:space="preserve"> בתחום של אימוץ ילדים, כמו בהקשר של טיפול בענייניהם של קטינים בכלל, עקרון העל ו"כוכב הצפון" הוא עקרון טובת הילד. טובת הילד היא לעולם טובתו של הילד הקונקרטי על מכלול נסיבותיו, עברו, מאפייניו וקשייו.</w:t>
      </w:r>
      <w:r>
        <w:rPr>
          <w:rFonts w:ascii="Century" w:hAnsi="Century" w:cs="FrankRuehl" w:hint="cs"/>
          <w:spacing w:val="10"/>
          <w:sz w:val="22"/>
          <w:szCs w:val="28"/>
          <w:rtl/>
        </w:rPr>
        <w:t xml:space="preserve"> </w:t>
      </w:r>
      <w:r w:rsidRPr="00170329">
        <w:rPr>
          <w:rFonts w:ascii="Century" w:hAnsi="Century" w:cs="FrankRuehl" w:hint="cs"/>
          <w:spacing w:val="10"/>
          <w:sz w:val="22"/>
          <w:szCs w:val="28"/>
          <w:rtl/>
        </w:rPr>
        <w:t>בתחום זה נדרש המענה האופטימלי לילד שהנסיבות של ראשית חייו לא היו אופטימליות ונדרש עבורו התיקון המיטבי.</w:t>
      </w:r>
    </w:p>
    <w:p w:rsidR="004A35F5" w:rsidRDefault="004A35F5" w:rsidP="00C15188">
      <w:pPr>
        <w:pStyle w:val="Ruller4"/>
        <w:numPr>
          <w:ilvl w:val="0"/>
          <w:numId w:val="0"/>
        </w:numPr>
        <w:spacing w:line="360" w:lineRule="auto"/>
        <w:rPr>
          <w:rtl/>
        </w:rPr>
      </w:pPr>
      <w:r w:rsidRPr="00170329">
        <w:rPr>
          <w:rFonts w:ascii="Century" w:hAnsi="Century" w:cs="FrankRuehl" w:hint="cs"/>
          <w:spacing w:val="10"/>
          <w:sz w:val="22"/>
          <w:szCs w:val="28"/>
          <w:rtl/>
        </w:rPr>
        <w:t xml:space="preserve"> </w:t>
      </w:r>
    </w:p>
    <w:p w:rsidR="004A35F5" w:rsidRPr="001A0673" w:rsidRDefault="004A35F5" w:rsidP="004A35F5">
      <w:pPr>
        <w:pStyle w:val="Ruller4"/>
        <w:spacing w:line="360" w:lineRule="auto"/>
        <w:rPr>
          <w:rFonts w:ascii="Century" w:hAnsi="Century" w:cs="FrankRuehl"/>
          <w:spacing w:val="10"/>
          <w:sz w:val="22"/>
          <w:szCs w:val="28"/>
          <w:rtl/>
        </w:rPr>
      </w:pPr>
      <w:r w:rsidRPr="001A0673">
        <w:rPr>
          <w:rFonts w:ascii="Century" w:hAnsi="Century" w:cs="FrankRuehl" w:hint="cs"/>
          <w:spacing w:val="10"/>
          <w:sz w:val="22"/>
          <w:szCs w:val="28"/>
          <w:rtl/>
        </w:rPr>
        <w:t>אכן, קיימים מקרים רבים שבהם רשויות המדינה נדרשות לאמץ הנחיות מינהליות כלליות. אולם גם במקרים אלה ההנחיות אינן קובעות חובה נוקשה וניתן, ולעתים אף נדרש, לסטות ממנה מטעם ענייני. הדברים יפים בעניננו על דרך של קל וחומר. הן בשל כך שמדובר בהחלטה שעליה חולש עקרון</w:t>
      </w:r>
      <w:r w:rsidR="00066BFB">
        <w:rPr>
          <w:rFonts w:ascii="Century" w:hAnsi="Century" w:cs="FrankRuehl" w:hint="cs"/>
          <w:spacing w:val="10"/>
          <w:sz w:val="22"/>
          <w:szCs w:val="28"/>
          <w:rtl/>
        </w:rPr>
        <w:t xml:space="preserve"> טובת</w:t>
      </w:r>
      <w:r w:rsidRPr="001A0673">
        <w:rPr>
          <w:rFonts w:ascii="Century" w:hAnsi="Century" w:cs="FrankRuehl" w:hint="cs"/>
          <w:spacing w:val="10"/>
          <w:sz w:val="22"/>
          <w:szCs w:val="28"/>
          <w:rtl/>
        </w:rPr>
        <w:t xml:space="preserve"> הילד שיישומו הוא קונקרטי בכל מקרה ומקרה</w:t>
      </w:r>
      <w:r w:rsidR="00DD6B83">
        <w:rPr>
          <w:rFonts w:ascii="Century" w:hAnsi="Century" w:cs="FrankRuehl" w:hint="cs"/>
          <w:spacing w:val="10"/>
          <w:sz w:val="22"/>
          <w:szCs w:val="28"/>
          <w:rtl/>
        </w:rPr>
        <w:t>,</w:t>
      </w:r>
      <w:r w:rsidRPr="001A0673">
        <w:rPr>
          <w:rFonts w:ascii="Century" w:hAnsi="Century" w:cs="FrankRuehl" w:hint="cs"/>
          <w:spacing w:val="10"/>
          <w:sz w:val="22"/>
          <w:szCs w:val="28"/>
          <w:rtl/>
        </w:rPr>
        <w:t xml:space="preserve"> הן בהתחשב בכך שקשה ל</w:t>
      </w:r>
      <w:r w:rsidR="00DD6B83">
        <w:rPr>
          <w:rFonts w:ascii="Century" w:hAnsi="Century" w:cs="FrankRuehl" w:hint="cs"/>
          <w:spacing w:val="10"/>
          <w:sz w:val="22"/>
          <w:szCs w:val="28"/>
          <w:rtl/>
        </w:rPr>
        <w:t>קבוע</w:t>
      </w:r>
      <w:r w:rsidRPr="001A0673">
        <w:rPr>
          <w:rFonts w:ascii="Century" w:hAnsi="Century" w:cs="FrankRuehl" w:hint="cs"/>
          <w:spacing w:val="10"/>
          <w:sz w:val="22"/>
          <w:szCs w:val="28"/>
          <w:rtl/>
        </w:rPr>
        <w:t xml:space="preserve"> כלל ביחס למקרים בודדים ולעתים אף מקרה בודד בשנה כפי שהסתמן ביחס לחלק מהשנים.</w:t>
      </w:r>
    </w:p>
    <w:p w:rsidR="004A35F5" w:rsidRPr="00B5030F" w:rsidRDefault="004A35F5" w:rsidP="004A35F5">
      <w:pPr>
        <w:spacing w:line="360" w:lineRule="auto"/>
        <w:jc w:val="both"/>
        <w:rPr>
          <w:rFonts w:ascii="Century" w:hAnsi="Century" w:cs="FrankRuehl"/>
          <w:spacing w:val="10"/>
          <w:sz w:val="24"/>
          <w:szCs w:val="32"/>
          <w:rtl/>
        </w:rPr>
      </w:pPr>
    </w:p>
    <w:p w:rsidR="004A35F5" w:rsidRPr="00EB2023" w:rsidRDefault="004A35F5" w:rsidP="004A35F5">
      <w:pPr>
        <w:spacing w:line="360" w:lineRule="auto"/>
        <w:ind w:firstLine="720"/>
        <w:jc w:val="both"/>
        <w:rPr>
          <w:rFonts w:ascii="Century" w:hAnsi="Century" w:cs="FrankRuehl"/>
          <w:spacing w:val="10"/>
          <w:sz w:val="22"/>
          <w:szCs w:val="28"/>
          <w:rtl/>
        </w:rPr>
      </w:pPr>
      <w:r w:rsidRPr="00EB2023">
        <w:rPr>
          <w:rFonts w:ascii="Century" w:hAnsi="Century" w:cs="FrankRuehl" w:hint="cs"/>
          <w:spacing w:val="10"/>
          <w:sz w:val="22"/>
          <w:szCs w:val="28"/>
          <w:rtl/>
        </w:rPr>
        <w:t>סוף דבר</w:t>
      </w:r>
      <w:r>
        <w:rPr>
          <w:rFonts w:ascii="Century" w:hAnsi="Century" w:cs="FrankRuehl" w:hint="cs"/>
          <w:spacing w:val="10"/>
          <w:sz w:val="22"/>
          <w:szCs w:val="28"/>
          <w:rtl/>
        </w:rPr>
        <w:t>:</w:t>
      </w:r>
      <w:r w:rsidRPr="00EB2023">
        <w:rPr>
          <w:rFonts w:ascii="Century" w:hAnsi="Century" w:cs="FrankRuehl" w:hint="cs"/>
          <w:spacing w:val="10"/>
          <w:sz w:val="22"/>
          <w:szCs w:val="28"/>
          <w:rtl/>
        </w:rPr>
        <w:t xml:space="preserve"> נוכח עמדת המדינה, שאנו נותנים לה תוקף של פסק דין, המשך הדיון בעתירה מתייתר ובכך מסתיים ההליך שלפנינו.</w:t>
      </w:r>
    </w:p>
    <w:p w:rsidR="004A35F5" w:rsidRPr="00EB2023" w:rsidRDefault="004A35F5" w:rsidP="004A35F5">
      <w:pPr>
        <w:spacing w:line="360" w:lineRule="auto"/>
        <w:jc w:val="both"/>
        <w:rPr>
          <w:rFonts w:ascii="Century" w:hAnsi="Century" w:cs="FrankRuehl"/>
          <w:spacing w:val="10"/>
          <w:sz w:val="22"/>
          <w:szCs w:val="28"/>
          <w:rtl/>
        </w:rPr>
      </w:pPr>
    </w:p>
    <w:p w:rsidR="00724F6B" w:rsidRDefault="00724F6B">
      <w:pPr>
        <w:overflowPunct/>
        <w:autoSpaceDE/>
        <w:autoSpaceDN/>
        <w:bidi w:val="0"/>
        <w:adjustRightInd/>
        <w:textAlignment w:val="auto"/>
        <w:rPr>
          <w:rFonts w:ascii="Century" w:hAnsi="Century" w:cs="FrankRuehl"/>
          <w:spacing w:val="10"/>
          <w:sz w:val="22"/>
          <w:szCs w:val="28"/>
        </w:rPr>
      </w:pPr>
      <w:r>
        <w:rPr>
          <w:rFonts w:ascii="Century" w:hAnsi="Century" w:cs="FrankRuehl"/>
          <w:spacing w:val="10"/>
          <w:sz w:val="22"/>
          <w:szCs w:val="28"/>
          <w:rtl/>
        </w:rPr>
        <w:br w:type="page"/>
      </w:r>
    </w:p>
    <w:p w:rsidR="004A35F5" w:rsidRDefault="004A35F5" w:rsidP="004A35F5">
      <w:pPr>
        <w:spacing w:line="360" w:lineRule="auto"/>
        <w:ind w:firstLine="720"/>
        <w:jc w:val="both"/>
        <w:rPr>
          <w:rFonts w:ascii="Century" w:hAnsi="Century" w:cs="FrankRuehl"/>
          <w:spacing w:val="10"/>
          <w:sz w:val="22"/>
          <w:szCs w:val="28"/>
          <w:rtl/>
        </w:rPr>
      </w:pPr>
      <w:r w:rsidRPr="00EB2023">
        <w:rPr>
          <w:rFonts w:ascii="Century" w:hAnsi="Century" w:cs="FrankRuehl" w:hint="cs"/>
          <w:spacing w:val="10"/>
          <w:sz w:val="22"/>
          <w:szCs w:val="28"/>
          <w:rtl/>
        </w:rPr>
        <w:lastRenderedPageBreak/>
        <w:t>בהתחשב בפרק הזמן הארוך שבו העתירה ה</w:t>
      </w:r>
      <w:r w:rsidR="00C15188">
        <w:rPr>
          <w:rFonts w:ascii="Century" w:hAnsi="Century" w:cs="FrankRuehl" w:hint="cs"/>
          <w:spacing w:val="10"/>
          <w:sz w:val="22"/>
          <w:szCs w:val="28"/>
          <w:rtl/>
        </w:rPr>
        <w:t>י</w:t>
      </w:r>
      <w:r w:rsidRPr="00EB2023">
        <w:rPr>
          <w:rFonts w:ascii="Century" w:hAnsi="Century" w:cs="FrankRuehl" w:hint="cs"/>
          <w:spacing w:val="10"/>
          <w:sz w:val="22"/>
          <w:szCs w:val="28"/>
          <w:rtl/>
        </w:rPr>
        <w:t>יתה תלויה ועומדת מחד גיסא, ועמדת המדינה בשלב הנוכחי מאידך גיסא</w:t>
      </w:r>
      <w:r>
        <w:rPr>
          <w:rFonts w:ascii="Century" w:hAnsi="Century" w:cs="FrankRuehl" w:hint="cs"/>
          <w:spacing w:val="10"/>
          <w:sz w:val="22"/>
          <w:szCs w:val="28"/>
          <w:rtl/>
        </w:rPr>
        <w:t>,</w:t>
      </w:r>
      <w:r w:rsidRPr="00EB2023">
        <w:rPr>
          <w:rFonts w:ascii="Century" w:hAnsi="Century" w:cs="FrankRuehl" w:hint="cs"/>
          <w:spacing w:val="10"/>
          <w:sz w:val="22"/>
          <w:szCs w:val="28"/>
          <w:rtl/>
        </w:rPr>
        <w:t xml:space="preserve"> המשיב י</w:t>
      </w:r>
      <w:r w:rsidR="00DD6B83">
        <w:rPr>
          <w:rFonts w:ascii="Century" w:hAnsi="Century" w:cs="FrankRuehl" w:hint="cs"/>
          <w:spacing w:val="10"/>
          <w:sz w:val="22"/>
          <w:szCs w:val="28"/>
          <w:rtl/>
        </w:rPr>
        <w:t>י</w:t>
      </w:r>
      <w:r w:rsidRPr="00EB2023">
        <w:rPr>
          <w:rFonts w:ascii="Century" w:hAnsi="Century" w:cs="FrankRuehl" w:hint="cs"/>
          <w:spacing w:val="10"/>
          <w:sz w:val="22"/>
          <w:szCs w:val="28"/>
          <w:rtl/>
        </w:rPr>
        <w:t xml:space="preserve">שא בהוצאות העותר בשיעור מופחת בסך </w:t>
      </w:r>
      <w:r>
        <w:rPr>
          <w:rFonts w:ascii="Century" w:hAnsi="Century" w:cs="FrankRuehl" w:hint="cs"/>
          <w:spacing w:val="10"/>
          <w:sz w:val="22"/>
          <w:szCs w:val="28"/>
          <w:rtl/>
        </w:rPr>
        <w:t xml:space="preserve">12,000 ש"ח. </w:t>
      </w:r>
    </w:p>
    <w:p w:rsidR="00FE2F17" w:rsidRDefault="00FE2F17" w:rsidP="004A35F5">
      <w:pPr>
        <w:spacing w:line="360" w:lineRule="auto"/>
        <w:ind w:firstLine="720"/>
        <w:jc w:val="both"/>
        <w:rPr>
          <w:rFonts w:ascii="Century" w:hAnsi="Century" w:cs="FrankRuehl"/>
          <w:spacing w:val="10"/>
          <w:sz w:val="22"/>
          <w:szCs w:val="28"/>
          <w:rtl/>
        </w:rPr>
      </w:pPr>
    </w:p>
    <w:p w:rsidR="000B1478" w:rsidRDefault="00FE2F17" w:rsidP="00FE2F17">
      <w:pPr>
        <w:pStyle w:val="Ruller40"/>
        <w:rPr>
          <w:rtl/>
        </w:rPr>
      </w:pPr>
      <w:r>
        <w:rPr>
          <w:rtl/>
        </w:rPr>
        <w:tab/>
        <w:t xml:space="preserve">ניתן היום, </w:t>
      </w:r>
      <w:r>
        <w:rPr>
          <w:rFonts w:hint="eastAsia"/>
          <w:rtl/>
        </w:rPr>
        <w:t>‏</w:t>
      </w:r>
      <w:r>
        <w:rPr>
          <w:rFonts w:hint="cs"/>
          <w:rtl/>
        </w:rPr>
        <w:t>ט</w:t>
      </w:r>
      <w:r>
        <w:rPr>
          <w:rtl/>
        </w:rPr>
        <w:t xml:space="preserve">' באייר </w:t>
      </w:r>
      <w:proofErr w:type="spellStart"/>
      <w:r>
        <w:rPr>
          <w:rtl/>
        </w:rPr>
        <w:t>התשפ"ג</w:t>
      </w:r>
      <w:proofErr w:type="spellEnd"/>
      <w:r>
        <w:rPr>
          <w:rtl/>
        </w:rPr>
        <w:t xml:space="preserve"> (</w:t>
      </w:r>
      <w:r>
        <w:rPr>
          <w:rFonts w:hint="eastAsia"/>
          <w:rtl/>
        </w:rPr>
        <w:t>‏</w:t>
      </w:r>
      <w:r>
        <w:rPr>
          <w:rFonts w:hint="cs"/>
          <w:rtl/>
        </w:rPr>
        <w:t>30</w:t>
      </w:r>
      <w:r>
        <w:rPr>
          <w:rtl/>
        </w:rPr>
        <w:t>.4.2023).</w:t>
      </w:r>
    </w:p>
    <w:p w:rsidR="00FE2F17" w:rsidRDefault="00FE2F17" w:rsidP="00A51FAE">
      <w:pPr>
        <w:pStyle w:val="Ruller40"/>
        <w:rPr>
          <w:rtl/>
        </w:rPr>
      </w:pPr>
    </w:p>
    <w:p w:rsidR="00995CD6" w:rsidRPr="00FE2F17" w:rsidRDefault="00995CD6" w:rsidP="00995CD6">
      <w:pPr>
        <w:pStyle w:val="Ruller40"/>
        <w:rPr>
          <w:rFonts w:ascii="Century" w:hAnsi="Century"/>
          <w:rtl/>
        </w:rPr>
      </w:pPr>
    </w:p>
    <w:tbl>
      <w:tblPr>
        <w:bidiVisual/>
        <w:tblW w:w="8363" w:type="dxa"/>
        <w:tblLook w:val="01E0" w:firstRow="1" w:lastRow="1" w:firstColumn="1" w:lastColumn="1" w:noHBand="0" w:noVBand="0"/>
      </w:tblPr>
      <w:tblGrid>
        <w:gridCol w:w="2797"/>
        <w:gridCol w:w="2783"/>
        <w:gridCol w:w="2783"/>
      </w:tblGrid>
      <w:tr w:rsidR="00FE2F17" w:rsidRPr="00FE2F17" w:rsidTr="00CD55D2">
        <w:tc>
          <w:tcPr>
            <w:tcW w:w="2797" w:type="dxa"/>
            <w:shd w:val="clear" w:color="auto" w:fill="auto"/>
          </w:tcPr>
          <w:p w:rsidR="00995CD6" w:rsidRPr="00FE2F17" w:rsidRDefault="00995CD6" w:rsidP="00CD55D2">
            <w:pPr>
              <w:pStyle w:val="Ruller40"/>
              <w:rPr>
                <w:rtl/>
              </w:rPr>
            </w:pPr>
            <w:r w:rsidRPr="00FE2F17">
              <w:rPr>
                <w:rtl/>
              </w:rPr>
              <w:t>המשנה לנשיאה</w:t>
            </w:r>
          </w:p>
        </w:tc>
        <w:tc>
          <w:tcPr>
            <w:tcW w:w="2783" w:type="dxa"/>
            <w:shd w:val="clear" w:color="auto" w:fill="auto"/>
          </w:tcPr>
          <w:p w:rsidR="00995CD6" w:rsidRPr="00FE2F17" w:rsidRDefault="00995CD6" w:rsidP="00CD55D2">
            <w:pPr>
              <w:pStyle w:val="Ruller40"/>
              <w:jc w:val="center"/>
              <w:rPr>
                <w:rtl/>
              </w:rPr>
            </w:pPr>
            <w:r w:rsidRPr="00FE2F17">
              <w:rPr>
                <w:rtl/>
              </w:rPr>
              <w:t>ש ו פ ט</w:t>
            </w:r>
          </w:p>
        </w:tc>
        <w:tc>
          <w:tcPr>
            <w:tcW w:w="2783" w:type="dxa"/>
            <w:shd w:val="clear" w:color="auto" w:fill="auto"/>
          </w:tcPr>
          <w:p w:rsidR="00995CD6" w:rsidRPr="00FE2F17" w:rsidRDefault="00995CD6" w:rsidP="00CD55D2">
            <w:pPr>
              <w:pStyle w:val="Ruller40"/>
              <w:jc w:val="right"/>
              <w:rPr>
                <w:rtl/>
              </w:rPr>
            </w:pPr>
            <w:r w:rsidRPr="00FE2F17">
              <w:rPr>
                <w:rtl/>
              </w:rPr>
              <w:t>ש ו פ ט</w:t>
            </w:r>
          </w:p>
          <w:p w:rsidR="00995CD6" w:rsidRPr="00FE2F17" w:rsidRDefault="00995CD6" w:rsidP="00CD55D2">
            <w:pPr>
              <w:pStyle w:val="Ruller40"/>
              <w:jc w:val="right"/>
              <w:rPr>
                <w:rtl/>
              </w:rPr>
            </w:pPr>
          </w:p>
        </w:tc>
      </w:tr>
      <w:tr w:rsidR="00FE2F17" w:rsidRPr="00FE2F17" w:rsidTr="00CD55D2">
        <w:tc>
          <w:tcPr>
            <w:tcW w:w="2797" w:type="dxa"/>
            <w:shd w:val="clear" w:color="auto" w:fill="auto"/>
          </w:tcPr>
          <w:p w:rsidR="00995CD6" w:rsidRPr="00FE2F17" w:rsidRDefault="00995CD6" w:rsidP="00CD55D2">
            <w:pPr>
              <w:pStyle w:val="Ruller40"/>
              <w:rPr>
                <w:rtl/>
              </w:rPr>
            </w:pPr>
            <w:r w:rsidRPr="00FE2F17">
              <w:rPr>
                <w:rFonts w:hint="cs"/>
                <w:rtl/>
              </w:rPr>
              <w:t>ש ו פ ט ת</w:t>
            </w:r>
          </w:p>
        </w:tc>
        <w:tc>
          <w:tcPr>
            <w:tcW w:w="2783" w:type="dxa"/>
            <w:shd w:val="clear" w:color="auto" w:fill="auto"/>
          </w:tcPr>
          <w:p w:rsidR="00995CD6" w:rsidRPr="00FE2F17" w:rsidRDefault="00995CD6" w:rsidP="00CD55D2">
            <w:pPr>
              <w:pStyle w:val="Ruller40"/>
              <w:jc w:val="center"/>
              <w:rPr>
                <w:rtl/>
              </w:rPr>
            </w:pPr>
            <w:r w:rsidRPr="00FE2F17">
              <w:rPr>
                <w:rtl/>
              </w:rPr>
              <w:t>ש ו פ ט</w:t>
            </w:r>
            <w:r w:rsidRPr="00FE2F17">
              <w:rPr>
                <w:rFonts w:hint="cs"/>
                <w:rtl/>
              </w:rPr>
              <w:t xml:space="preserve"> ת</w:t>
            </w:r>
          </w:p>
        </w:tc>
        <w:tc>
          <w:tcPr>
            <w:tcW w:w="2783" w:type="dxa"/>
            <w:shd w:val="clear" w:color="auto" w:fill="auto"/>
          </w:tcPr>
          <w:p w:rsidR="00995CD6" w:rsidRPr="00FE2F17" w:rsidRDefault="00995CD6" w:rsidP="00CD55D2">
            <w:pPr>
              <w:pStyle w:val="Ruller40"/>
              <w:jc w:val="right"/>
              <w:rPr>
                <w:rtl/>
              </w:rPr>
            </w:pPr>
            <w:r w:rsidRPr="00FE2F17">
              <w:rPr>
                <w:rtl/>
              </w:rPr>
              <w:t>ש ו פ ט</w:t>
            </w:r>
          </w:p>
          <w:p w:rsidR="00995CD6" w:rsidRPr="00FE2F17" w:rsidRDefault="00995CD6" w:rsidP="00CD55D2">
            <w:pPr>
              <w:pStyle w:val="Ruller40"/>
              <w:jc w:val="right"/>
              <w:rPr>
                <w:rtl/>
              </w:rPr>
            </w:pPr>
          </w:p>
        </w:tc>
      </w:tr>
      <w:tr w:rsidR="00995CD6" w:rsidRPr="00FE2F17" w:rsidTr="00CD55D2">
        <w:tc>
          <w:tcPr>
            <w:tcW w:w="2797" w:type="dxa"/>
            <w:shd w:val="clear" w:color="auto" w:fill="auto"/>
          </w:tcPr>
          <w:p w:rsidR="00995CD6" w:rsidRPr="00FE2F17" w:rsidRDefault="00995CD6" w:rsidP="00CD55D2">
            <w:pPr>
              <w:pStyle w:val="Ruller40"/>
              <w:rPr>
                <w:rtl/>
              </w:rPr>
            </w:pPr>
            <w:r w:rsidRPr="00FE2F17">
              <w:rPr>
                <w:rFonts w:hint="cs"/>
                <w:rtl/>
              </w:rPr>
              <w:t>ש ו פ ט ת</w:t>
            </w:r>
          </w:p>
        </w:tc>
        <w:tc>
          <w:tcPr>
            <w:tcW w:w="2783" w:type="dxa"/>
            <w:shd w:val="clear" w:color="auto" w:fill="auto"/>
          </w:tcPr>
          <w:p w:rsidR="00995CD6" w:rsidRPr="00FE2F17" w:rsidRDefault="00995CD6" w:rsidP="00CD55D2">
            <w:pPr>
              <w:pStyle w:val="Ruller40"/>
              <w:jc w:val="center"/>
              <w:rPr>
                <w:rtl/>
              </w:rPr>
            </w:pPr>
            <w:r w:rsidRPr="00FE2F17">
              <w:rPr>
                <w:rtl/>
              </w:rPr>
              <w:t>ש ו פ ט</w:t>
            </w:r>
          </w:p>
        </w:tc>
        <w:tc>
          <w:tcPr>
            <w:tcW w:w="2783" w:type="dxa"/>
            <w:shd w:val="clear" w:color="auto" w:fill="auto"/>
          </w:tcPr>
          <w:p w:rsidR="00995CD6" w:rsidRPr="00FE2F17" w:rsidRDefault="00995CD6" w:rsidP="00CD55D2">
            <w:pPr>
              <w:pStyle w:val="Ruller40"/>
              <w:jc w:val="right"/>
              <w:rPr>
                <w:rtl/>
              </w:rPr>
            </w:pPr>
            <w:r w:rsidRPr="00FE2F17">
              <w:rPr>
                <w:rtl/>
              </w:rPr>
              <w:t>ש ו פ ט</w:t>
            </w:r>
          </w:p>
          <w:p w:rsidR="00995CD6" w:rsidRPr="00FE2F17" w:rsidRDefault="00995CD6" w:rsidP="00CD55D2">
            <w:pPr>
              <w:pStyle w:val="Ruller40"/>
              <w:jc w:val="right"/>
              <w:rPr>
                <w:rtl/>
              </w:rPr>
            </w:pPr>
          </w:p>
          <w:p w:rsidR="00995CD6" w:rsidRPr="00FE2F17" w:rsidRDefault="00995CD6" w:rsidP="00CD55D2">
            <w:pPr>
              <w:pStyle w:val="Ruller40"/>
              <w:jc w:val="right"/>
              <w:rPr>
                <w:rtl/>
              </w:rPr>
            </w:pPr>
          </w:p>
        </w:tc>
      </w:tr>
    </w:tbl>
    <w:p w:rsidR="00044953" w:rsidRPr="00FE2F17" w:rsidRDefault="00044953" w:rsidP="00A51FAE">
      <w:pPr>
        <w:pStyle w:val="Ruller40"/>
        <w:rPr>
          <w:rtl/>
        </w:rPr>
      </w:pPr>
    </w:p>
    <w:p w:rsidR="00916FF8" w:rsidRPr="00FE2F17" w:rsidRDefault="00916FF8">
      <w:pPr>
        <w:rPr>
          <w:szCs w:val="16"/>
          <w:rtl/>
        </w:rPr>
      </w:pPr>
      <w:r w:rsidRPr="00FE2F17">
        <w:rPr>
          <w:szCs w:val="16"/>
          <w:rtl/>
        </w:rPr>
        <w:t>_________________</w:t>
      </w:r>
      <w:r w:rsidR="00A12E0F" w:rsidRPr="00FE2F17">
        <w:rPr>
          <w:rFonts w:hint="cs"/>
          <w:szCs w:val="16"/>
          <w:rtl/>
        </w:rPr>
        <w:t>________</w:t>
      </w:r>
    </w:p>
    <w:p w:rsidR="00916FF8" w:rsidRPr="00FE2F17" w:rsidRDefault="00591983" w:rsidP="00B009CC">
      <w:pPr>
        <w:pStyle w:val="Ruller38"/>
        <w:rPr>
          <w:rtl/>
        </w:rPr>
      </w:pPr>
      <w:r w:rsidRPr="00FE2F17">
        <w:rPr>
          <w:sz w:val="16"/>
        </w:rPr>
        <w:t xml:space="preserve"> </w:t>
      </w:r>
      <w:r w:rsidR="00A12E0F" w:rsidRPr="00FE2F17">
        <w:rPr>
          <w:sz w:val="16"/>
        </w:rPr>
        <w:t xml:space="preserve">  </w:t>
      </w:r>
      <w:r w:rsidR="00994F05" w:rsidRPr="00FE2F17">
        <w:rPr>
          <w:sz w:val="16"/>
        </w:rPr>
        <w:t xml:space="preserve">03053360_M51.docx   </w:t>
      </w:r>
      <w:r w:rsidR="00994F05" w:rsidRPr="00FE2F17">
        <w:rPr>
          <w:sz w:val="16"/>
          <w:rtl/>
        </w:rPr>
        <w:t>עת</w:t>
      </w:r>
    </w:p>
    <w:p w:rsidR="00591983" w:rsidRPr="00FE2F17" w:rsidRDefault="00591983" w:rsidP="00FC0252">
      <w:pPr>
        <w:pStyle w:val="Ruller38"/>
        <w:rPr>
          <w:rtl/>
        </w:rPr>
      </w:pPr>
      <w:r w:rsidRPr="00FE2F17">
        <w:rPr>
          <w:rtl/>
        </w:rPr>
        <w:t>מרכז מידע, טל'</w:t>
      </w:r>
      <w:r w:rsidRPr="00FE2F17">
        <w:rPr>
          <w:rFonts w:hint="cs"/>
          <w:rtl/>
        </w:rPr>
        <w:t xml:space="preserve"> </w:t>
      </w:r>
      <w:r w:rsidR="00B63343" w:rsidRPr="00FE2F17">
        <w:rPr>
          <w:rFonts w:hint="cs"/>
          <w:rtl/>
        </w:rPr>
        <w:t>077</w:t>
      </w:r>
      <w:r w:rsidRPr="00FE2F17">
        <w:rPr>
          <w:rFonts w:hint="cs"/>
          <w:rtl/>
        </w:rPr>
        <w:t>-</w:t>
      </w:r>
      <w:r w:rsidR="00B63343" w:rsidRPr="00FE2F17">
        <w:rPr>
          <w:rFonts w:hint="cs"/>
          <w:rtl/>
        </w:rPr>
        <w:t>270</w:t>
      </w:r>
      <w:r w:rsidR="00E21CA9" w:rsidRPr="00FE2F17">
        <w:rPr>
          <w:rFonts w:hint="cs"/>
          <w:rtl/>
        </w:rPr>
        <w:t>3</w:t>
      </w:r>
      <w:r w:rsidR="009B38DA" w:rsidRPr="00FE2F17">
        <w:rPr>
          <w:rFonts w:hint="cs"/>
          <w:rtl/>
        </w:rPr>
        <w:t>333</w:t>
      </w:r>
      <w:r w:rsidR="00866D0F" w:rsidRPr="00FE2F17">
        <w:rPr>
          <w:rFonts w:hint="cs"/>
          <w:rtl/>
        </w:rPr>
        <w:t>, 3852*</w:t>
      </w:r>
      <w:r w:rsidRPr="00FE2F17">
        <w:rPr>
          <w:rFonts w:hint="cs"/>
          <w:rtl/>
        </w:rPr>
        <w:t xml:space="preserve"> ; אתר אינטרנט,  </w:t>
      </w:r>
      <w:hyperlink r:id="rId8" w:history="1">
        <w:r w:rsidR="00FC0252" w:rsidRPr="00FE2F17">
          <w:rPr>
            <w:rStyle w:val="Hyperlink"/>
            <w:color w:val="auto"/>
            <w:sz w:val="16"/>
          </w:rPr>
          <w:t>https://supreme.court.gov.il</w:t>
        </w:r>
      </w:hyperlink>
    </w:p>
    <w:p w:rsidR="003F1F97" w:rsidRDefault="003F1F97" w:rsidP="00591983">
      <w:pPr>
        <w:pStyle w:val="Ruller38"/>
        <w:rPr>
          <w:rtl/>
        </w:rPr>
      </w:pPr>
    </w:p>
    <w:sectPr w:rsidR="003F1F97" w:rsidSect="00591983">
      <w:headerReference w:type="even" r:id="rId9"/>
      <w:headerReference w:type="default" r:id="rId10"/>
      <w:footerReference w:type="even" r:id="rId11"/>
      <w:headerReference w:type="first" r:id="rId12"/>
      <w:footerReference w:type="first" r:id="rId13"/>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281" w:rsidRDefault="001E4281">
      <w:r>
        <w:separator/>
      </w:r>
    </w:p>
  </w:endnote>
  <w:endnote w:type="continuationSeparator" w:id="0">
    <w:p w:rsidR="001E4281" w:rsidRDefault="001E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281" w:rsidRDefault="001E4281">
      <w:r>
        <w:separator/>
      </w:r>
    </w:p>
  </w:footnote>
  <w:footnote w:type="continuationSeparator" w:id="0">
    <w:p w:rsidR="001E4281" w:rsidRDefault="001E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6E7EB0">
      <w:rPr>
        <w:rStyle w:val="a4"/>
        <w:noProof/>
        <w:rtl/>
      </w:rPr>
      <w:t>4</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Pr="00724F6B" w:rsidRDefault="00045B4D" w:rsidP="00724F6B">
    <w:pPr>
      <w:pStyle w:val="a5"/>
      <w:spacing w:line="360" w:lineRule="auto"/>
      <w:jc w:val="center"/>
      <w:rPr>
        <w:sz w:val="22"/>
        <w:szCs w:val="28"/>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617D9"/>
    <w:rsid w:val="00066BFB"/>
    <w:rsid w:val="000725F5"/>
    <w:rsid w:val="00072AD2"/>
    <w:rsid w:val="000B1478"/>
    <w:rsid w:val="000C4690"/>
    <w:rsid w:val="000D25C4"/>
    <w:rsid w:val="00134A67"/>
    <w:rsid w:val="001A0164"/>
    <w:rsid w:val="001E4281"/>
    <w:rsid w:val="00200D6B"/>
    <w:rsid w:val="00265F6E"/>
    <w:rsid w:val="002876BF"/>
    <w:rsid w:val="002A4A7A"/>
    <w:rsid w:val="002A4BF3"/>
    <w:rsid w:val="002F7BB6"/>
    <w:rsid w:val="0031011E"/>
    <w:rsid w:val="003448B2"/>
    <w:rsid w:val="00361DB2"/>
    <w:rsid w:val="0037622E"/>
    <w:rsid w:val="00377102"/>
    <w:rsid w:val="00390751"/>
    <w:rsid w:val="0039709B"/>
    <w:rsid w:val="003D72DA"/>
    <w:rsid w:val="003D77D7"/>
    <w:rsid w:val="003F1F97"/>
    <w:rsid w:val="0041048F"/>
    <w:rsid w:val="00437D59"/>
    <w:rsid w:val="004610A4"/>
    <w:rsid w:val="004A35F5"/>
    <w:rsid w:val="004B29FF"/>
    <w:rsid w:val="004C7868"/>
    <w:rsid w:val="00503A3E"/>
    <w:rsid w:val="00527F02"/>
    <w:rsid w:val="005803E2"/>
    <w:rsid w:val="0058440A"/>
    <w:rsid w:val="00591983"/>
    <w:rsid w:val="00624A42"/>
    <w:rsid w:val="00640324"/>
    <w:rsid w:val="0065522F"/>
    <w:rsid w:val="00671C13"/>
    <w:rsid w:val="006A30F7"/>
    <w:rsid w:val="006C42AD"/>
    <w:rsid w:val="006E7EB0"/>
    <w:rsid w:val="00724F6B"/>
    <w:rsid w:val="00725345"/>
    <w:rsid w:val="00741CC0"/>
    <w:rsid w:val="007A723A"/>
    <w:rsid w:val="007B512F"/>
    <w:rsid w:val="007E050D"/>
    <w:rsid w:val="007F6AE6"/>
    <w:rsid w:val="007F7512"/>
    <w:rsid w:val="00810894"/>
    <w:rsid w:val="008143AB"/>
    <w:rsid w:val="0083345F"/>
    <w:rsid w:val="00836644"/>
    <w:rsid w:val="00836667"/>
    <w:rsid w:val="00866D0F"/>
    <w:rsid w:val="008C2F11"/>
    <w:rsid w:val="008D064C"/>
    <w:rsid w:val="008D78B9"/>
    <w:rsid w:val="008E3F85"/>
    <w:rsid w:val="009051E8"/>
    <w:rsid w:val="00914156"/>
    <w:rsid w:val="00916FF8"/>
    <w:rsid w:val="00922093"/>
    <w:rsid w:val="00930C85"/>
    <w:rsid w:val="009831C2"/>
    <w:rsid w:val="00994F05"/>
    <w:rsid w:val="00995CD6"/>
    <w:rsid w:val="009B38DA"/>
    <w:rsid w:val="009F2F53"/>
    <w:rsid w:val="009F4187"/>
    <w:rsid w:val="00A12E0F"/>
    <w:rsid w:val="00A51FAE"/>
    <w:rsid w:val="00A80845"/>
    <w:rsid w:val="00AB69F7"/>
    <w:rsid w:val="00AC2679"/>
    <w:rsid w:val="00AD097B"/>
    <w:rsid w:val="00AD64B9"/>
    <w:rsid w:val="00AE022B"/>
    <w:rsid w:val="00B009CC"/>
    <w:rsid w:val="00B0782A"/>
    <w:rsid w:val="00B5030F"/>
    <w:rsid w:val="00B62B8C"/>
    <w:rsid w:val="00B63343"/>
    <w:rsid w:val="00B87FF7"/>
    <w:rsid w:val="00BA0B08"/>
    <w:rsid w:val="00BC0E82"/>
    <w:rsid w:val="00BD40F9"/>
    <w:rsid w:val="00C15188"/>
    <w:rsid w:val="00C41C86"/>
    <w:rsid w:val="00C63A6C"/>
    <w:rsid w:val="00CA13AF"/>
    <w:rsid w:val="00CA1444"/>
    <w:rsid w:val="00CB1590"/>
    <w:rsid w:val="00CB7600"/>
    <w:rsid w:val="00CC0E9D"/>
    <w:rsid w:val="00CC3639"/>
    <w:rsid w:val="00CD54AF"/>
    <w:rsid w:val="00D0074B"/>
    <w:rsid w:val="00D00B1D"/>
    <w:rsid w:val="00D00CB7"/>
    <w:rsid w:val="00D25F16"/>
    <w:rsid w:val="00D34AC5"/>
    <w:rsid w:val="00DD6B83"/>
    <w:rsid w:val="00E11E1B"/>
    <w:rsid w:val="00E20D0B"/>
    <w:rsid w:val="00E21CA9"/>
    <w:rsid w:val="00E31063"/>
    <w:rsid w:val="00E36FE9"/>
    <w:rsid w:val="00E73E98"/>
    <w:rsid w:val="00E75223"/>
    <w:rsid w:val="00E90D72"/>
    <w:rsid w:val="00EA0BE1"/>
    <w:rsid w:val="00EB41FF"/>
    <w:rsid w:val="00EC23AC"/>
    <w:rsid w:val="00EC2992"/>
    <w:rsid w:val="00ED46A4"/>
    <w:rsid w:val="00ED6FD9"/>
    <w:rsid w:val="00EE3810"/>
    <w:rsid w:val="00F63C3B"/>
    <w:rsid w:val="00F86A98"/>
    <w:rsid w:val="00F959DB"/>
    <w:rsid w:val="00FC0252"/>
    <w:rsid w:val="00FE2F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C4777F-F95C-4E95-A03E-699300319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0"/>
    <w:next w:val="Ruller40"/>
    <w:rsid w:val="004A35F5"/>
    <w:pPr>
      <w:numPr>
        <w:numId w:val="11"/>
      </w:numPr>
      <w:overflowPunct/>
      <w:autoSpaceDE/>
      <w:autoSpaceDN/>
      <w:adjustRightInd/>
      <w:spacing w:line="240" w:lineRule="auto"/>
      <w:textAlignment w:val="auto"/>
    </w:pPr>
    <w:rPr>
      <w:rFonts w:ascii="Garamond" w:hAnsi="Garamond" w:cs="David"/>
      <w:noProof/>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767</Words>
  <Characters>3839</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פסק-דין בתיק בג"ץ  5336/03</vt:lpstr>
    </vt:vector>
  </TitlesOfParts>
  <Company>supreme court of israel</Company>
  <LinksUpToDate>false</LinksUpToDate>
  <CharactersWithSpaces>4597</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5336/03</dc:title>
  <dc:subject/>
  <dc:creator>Administrator</dc:creator>
  <cp:keywords/>
  <dc:description/>
  <cp:lastModifiedBy>אסתר טטרואשילי</cp:lastModifiedBy>
  <cp:revision>2</cp:revision>
  <cp:lastPrinted>2023-04-27T06:06:00Z</cp:lastPrinted>
  <dcterms:created xsi:type="dcterms:W3CDTF">2023-05-02T11:27:00Z</dcterms:created>
  <dcterms:modified xsi:type="dcterms:W3CDTF">2023-05-02T11:27:00Z</dcterms:modified>
</cp:coreProperties>
</file>